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cs="宋体"/>
          <w:b/>
          <w:sz w:val="32"/>
          <w:szCs w:val="28"/>
          <w:highlight w:val="none"/>
        </w:rPr>
      </w:pPr>
      <w:r>
        <w:rPr>
          <w:rFonts w:hint="eastAsia" w:ascii="宋体" w:hAnsi="宋体" w:cs="宋体"/>
          <w:b/>
          <w:sz w:val="32"/>
          <w:szCs w:val="28"/>
          <w:highlight w:val="none"/>
        </w:rPr>
        <w:t>2022年上半年</w:t>
      </w:r>
      <w:r>
        <w:rPr>
          <w:rFonts w:hint="eastAsia" w:ascii="宋体" w:hAnsi="宋体" w:cs="宋体"/>
          <w:b/>
          <w:sz w:val="32"/>
          <w:szCs w:val="28"/>
          <w:highlight w:val="none"/>
          <w:lang w:val="en-US" w:eastAsia="zh-CN"/>
        </w:rPr>
        <w:t>浙江南太湖控股</w:t>
      </w:r>
      <w:r>
        <w:rPr>
          <w:rFonts w:hint="eastAsia" w:ascii="宋体" w:hAnsi="宋体" w:cs="宋体"/>
          <w:b/>
          <w:sz w:val="32"/>
          <w:szCs w:val="28"/>
          <w:highlight w:val="none"/>
        </w:rPr>
        <w:t>集团公司</w:t>
      </w:r>
      <w:r>
        <w:rPr>
          <w:rFonts w:hint="eastAsia" w:ascii="宋体" w:hAnsi="宋体" w:cs="宋体"/>
          <w:b/>
          <w:sz w:val="32"/>
          <w:szCs w:val="28"/>
          <w:highlight w:val="none"/>
          <w:lang w:val="en-US" w:eastAsia="zh-CN"/>
        </w:rPr>
        <w:t>社会</w:t>
      </w:r>
      <w:r>
        <w:rPr>
          <w:rFonts w:hint="eastAsia" w:ascii="宋体" w:hAnsi="宋体" w:cs="宋体"/>
          <w:b/>
          <w:sz w:val="32"/>
          <w:szCs w:val="28"/>
          <w:highlight w:val="none"/>
        </w:rPr>
        <w:t>招聘计划表</w:t>
      </w:r>
    </w:p>
    <w:tbl>
      <w:tblPr>
        <w:tblStyle w:val="6"/>
        <w:tblpPr w:leftFromText="180" w:rightFromText="180" w:vertAnchor="page" w:horzAnchor="page" w:tblpXSpec="center" w:tblpY="2409"/>
        <w:tblW w:w="14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045"/>
        <w:gridCol w:w="930"/>
        <w:gridCol w:w="1185"/>
        <w:gridCol w:w="914"/>
        <w:gridCol w:w="814"/>
        <w:gridCol w:w="1220"/>
        <w:gridCol w:w="1357"/>
        <w:gridCol w:w="588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集团公司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集团公司</w:t>
            </w:r>
          </w:p>
        </w:tc>
        <w:tc>
          <w:tcPr>
            <w:tcW w:w="197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职位</w:t>
            </w:r>
          </w:p>
        </w:tc>
        <w:tc>
          <w:tcPr>
            <w:tcW w:w="1137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招  聘  条  件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人数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学历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职称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相关工作经验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年龄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具体要求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资产管理部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部门副经理（主持工作）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全日制本科及以上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5年及以上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45周岁及以下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 具有5年及以上相关工作经验，3年及以上国有企业相关管理工作经验优先；</w:t>
            </w:r>
          </w:p>
          <w:p>
            <w:pPr>
              <w:numPr>
                <w:ilvl w:val="0"/>
                <w:numId w:val="1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 具备优秀的沟通协调能力，能够协调公司各部门之间的关系，保证信息流通畅通，合理配置各部门资源；</w:t>
            </w:r>
          </w:p>
          <w:p>
            <w:pPr>
              <w:numPr>
                <w:ilvl w:val="0"/>
                <w:numId w:val="1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 熟悉资产管理等方面知识；</w:t>
            </w:r>
          </w:p>
          <w:p>
            <w:pPr>
              <w:numPr>
                <w:ilvl w:val="0"/>
                <w:numId w:val="1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 具备出色的沟通及团队管理能力。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项目管理部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部门副经理（主持工作）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工程管理类相关专业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全日制本科及以上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高级工程师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5年及以上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tabs>
                <w:tab w:val="left" w:pos="337"/>
              </w:tabs>
              <w:spacing w:line="3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45周岁及以下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具有5年及以上相关工作经验，3年及以上国有企业相关管理工作经验或市、县区建设主管部门挂职（股级以上）工作经验优先；</w:t>
            </w:r>
          </w:p>
          <w:p>
            <w:p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2、 具备优秀的沟通协调能力，能够协调公司各部门之间的关系，保证信息流通畅通，合理配置各部门资源；</w:t>
            </w:r>
          </w:p>
          <w:p>
            <w:p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3、 熟悉项目管理、安全生产、前期报批等方面知识；</w:t>
            </w:r>
          </w:p>
          <w:p>
            <w:pPr>
              <w:tabs>
                <w:tab w:val="left" w:pos="337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4、 具备出色的沟通及团队管理能力。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计划财务部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出纳岗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财会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全日制本科及以上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具有3年及以上财务相关工作经验；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能熟练使用财务软件及办公软件操作；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善于处理流程性事务、良好的学习能力、独立工作能力和财务分析能力；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了解国家财经政策、税务法规，熟悉银行结算业务；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具有吃苦耐劳精神以及良好的沟通协调能力。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总师室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highlight w:val="none"/>
              </w:rPr>
              <w:t>综合设计岗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土木工程等相关专业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全日制本科及以上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5年及以上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40周岁及以下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具有5年以上设计单位或房地产开发企业结构相关设计管理工作经验；                                                      </w:t>
            </w:r>
          </w:p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取得工程类中级及以上职称；</w:t>
            </w:r>
          </w:p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精通结构图纸、规范及技术问题，熟悉工程施工流程和施工管理要点；</w:t>
            </w:r>
          </w:p>
          <w:p>
            <w:pPr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具备良好的沟通协调能力、综合业务能力和判断力。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市政设计岗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给排水等土木工程相关专业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全日制本科及以上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助理工程师及以上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1年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及以上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30周岁及以下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具有1年及以上市政设计工作经验；                                                  2、 取得助理工程师及以上职称；</w:t>
            </w:r>
          </w:p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熟悉使用CAD、鸿业、纬地等设计软件；</w:t>
            </w:r>
          </w:p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设计院从业经历者优先。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85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</w:p>
        </w:tc>
      </w:tr>
    </w:tbl>
    <w:p>
      <w:pPr>
        <w:pStyle w:val="4"/>
        <w:rPr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CF371"/>
    <w:multiLevelType w:val="singleLevel"/>
    <w:tmpl w:val="B2BCF371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CFB8D226"/>
    <w:multiLevelType w:val="singleLevel"/>
    <w:tmpl w:val="CFB8D226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E66DD8B5"/>
    <w:multiLevelType w:val="singleLevel"/>
    <w:tmpl w:val="E66DD8B5"/>
    <w:lvl w:ilvl="0" w:tentative="0">
      <w:start w:val="1"/>
      <w:numFmt w:val="decimal"/>
      <w:suff w:val="space"/>
      <w:lvlText w:val="%1、"/>
      <w:lvlJc w:val="left"/>
    </w:lvl>
  </w:abstractNum>
  <w:abstractNum w:abstractNumId="3">
    <w:nsid w:val="F1D736B2"/>
    <w:multiLevelType w:val="singleLevel"/>
    <w:tmpl w:val="F1D736B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DD99E18"/>
    <w:multiLevelType w:val="singleLevel"/>
    <w:tmpl w:val="2DD99E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E087A"/>
    <w:rsid w:val="3F3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2022-04-06T02:09:00Z</dcterms:created>
  <dc:creator>阿珊</dc:creator>
  <cp:lastModifiedBy>阿珊</cp:lastModifiedBy>
  <dcterms:modified xsi:type="dcterms:W3CDTF">2022-04-06T02:09:20Z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ECEFF6F86A1F425C92A9CF42A84D56FB</vt:lpwstr>
  </property>
</Properties>
</file>