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Verdana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Verdana" w:eastAsia="仿宋_GB2312" w:cs="仿宋_GB2312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20" w:firstLineChars="200"/>
        <w:jc w:val="center"/>
        <w:textAlignment w:val="auto"/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  <w:t>湖州南太湖新区管理委员会2021年公开招聘储备人才计划表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20" w:firstLineChars="200"/>
        <w:jc w:val="center"/>
        <w:textAlignment w:val="auto"/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</w:pPr>
    </w:p>
    <w:tbl>
      <w:tblPr>
        <w:tblStyle w:val="4"/>
        <w:tblW w:w="15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176"/>
        <w:gridCol w:w="1111"/>
        <w:gridCol w:w="3548"/>
        <w:gridCol w:w="1770"/>
        <w:gridCol w:w="5370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部门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拟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招聘岗位</w:t>
            </w:r>
          </w:p>
        </w:tc>
        <w:tc>
          <w:tcPr>
            <w:tcW w:w="1179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招  聘  条  件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学历（须全日制）</w:t>
            </w:r>
          </w:p>
        </w:tc>
        <w:tc>
          <w:tcPr>
            <w:tcW w:w="354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专业</w:t>
            </w:r>
          </w:p>
        </w:tc>
        <w:tc>
          <w:tcPr>
            <w:tcW w:w="17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相关工作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年限要求</w:t>
            </w:r>
          </w:p>
        </w:tc>
        <w:tc>
          <w:tcPr>
            <w:tcW w:w="53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其它要求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办公室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综合文字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研究生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35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哲学、历史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文献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语言文学、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汉语言文字学、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政治学、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政治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经济学、法学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53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具备良好的文字功底和写作水平。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sz w:val="24"/>
                <w:szCs w:val="24"/>
                <w:lang w:val="en-US" w:eastAsia="zh-CN"/>
              </w:rPr>
              <w:t>经济发展局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综合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管理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354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产业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经济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、工商管理、行政管理、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汉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语言文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537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具有良好的经济、工商、行政管理基础知识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。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sz w:val="24"/>
                <w:szCs w:val="24"/>
                <w:lang w:val="en-US" w:eastAsia="zh-CN"/>
              </w:rPr>
              <w:t>社会发展局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综合文字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研究生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354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哲学、历史文献学、中国语言文学、汉语言文字学、政治学、政治经济学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537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具备良好的文字功底和写作水平。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财政局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财金管理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硕士研究生及以上</w:t>
            </w:r>
          </w:p>
        </w:tc>
        <w:tc>
          <w:tcPr>
            <w:tcW w:w="35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会计、会计学、审计、金融、金融学、财政学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537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良好的办公软件操作水平，具备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良好的文字功底和写作水平。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建设发展局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管理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35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建筑工程类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537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旅游发展局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景区开发与管理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35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旅游管理、产业经济学、人文地理学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537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自规分局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4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土地资源管理、地理信息系统、测绘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工程</w:t>
            </w:r>
          </w:p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硕研及以上：土地资源管理、地图学与地理信息系统、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测绘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工程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53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熟悉土地资源管理业务知识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自规分局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规划管理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35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城乡规划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、城市规划与设计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53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熟悉土地资源管理业务知识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82" w:type="dxa"/>
            <w:gridSpan w:val="6"/>
            <w:vAlign w:val="center"/>
          </w:tcPr>
          <w:p>
            <w:pPr>
              <w:widowControl/>
              <w:tabs>
                <w:tab w:val="left" w:pos="5914"/>
              </w:tabs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ascii="Times New Roman" w:hAnsi="Times New Roman" w:eastAsia="仿宋_GB2312"/>
          <w:kern w:val="0"/>
          <w:sz w:val="3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577AE"/>
    <w:rsid w:val="7635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2021-02-09T01:11:00Z</dcterms:created>
  <dc:creator>qzuser</dc:creator>
  <cp:lastModifiedBy>qzuser</cp:lastModifiedBy>
  <dcterms:modified xsi:type="dcterms:W3CDTF">2021-02-09T01:11:30Z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