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line="620" w:lineRule="exact"/>
        <w:rPr>
          <w:rFonts w:ascii="黑体" w:eastAsia="黑体"/>
          <w:sz w:val="32"/>
          <w:szCs w:val="32"/>
        </w:rPr>
      </w:pPr>
    </w:p>
    <w:p>
      <w:pPr>
        <w:spacing w:line="560" w:lineRule="exact"/>
        <w:ind w:firstLine="880" w:firstLineChars="200"/>
        <w:rPr>
          <w:rFonts w:eastAsia="方正小标宋简体"/>
          <w:kern w:val="0"/>
          <w:sz w:val="44"/>
          <w:szCs w:val="44"/>
        </w:rPr>
      </w:pPr>
      <w:r>
        <w:rPr>
          <w:rFonts w:hint="eastAsia" w:ascii="方正小标宋简体" w:hAnsi="Arial Black" w:eastAsia="方正小标宋简体"/>
          <w:sz w:val="44"/>
          <w:szCs w:val="44"/>
        </w:rPr>
        <w:t>聘任制消防员体能</w:t>
      </w:r>
      <w:r>
        <w:rPr>
          <w:rFonts w:hint="eastAsia" w:eastAsia="方正小标宋简体"/>
          <w:kern w:val="0"/>
          <w:sz w:val="44"/>
          <w:szCs w:val="44"/>
        </w:rPr>
        <w:t>测试项目及标准</w:t>
      </w:r>
    </w:p>
    <w:p>
      <w:pPr>
        <w:spacing w:line="560" w:lineRule="exact"/>
        <w:ind w:firstLine="880" w:firstLineChars="200"/>
        <w:rPr>
          <w:rFonts w:ascii="方正小标宋简体" w:hAnsi="Arial Black" w:eastAsia="方正小标宋简体"/>
          <w:sz w:val="44"/>
          <w:szCs w:val="44"/>
        </w:rPr>
      </w:pPr>
    </w:p>
    <w:tbl>
      <w:tblPr>
        <w:tblStyle w:val="3"/>
        <w:tblW w:w="897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723"/>
        <w:gridCol w:w="725"/>
        <w:gridCol w:w="724"/>
        <w:gridCol w:w="725"/>
        <w:gridCol w:w="724"/>
        <w:gridCol w:w="724"/>
        <w:gridCol w:w="724"/>
        <w:gridCol w:w="725"/>
        <w:gridCol w:w="724"/>
        <w:gridCol w:w="7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73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hint="eastAsia" w:eastAsia="黑体"/>
                <w:kern w:val="0"/>
                <w:sz w:val="22"/>
              </w:rPr>
              <w:t>项目</w:t>
            </w:r>
          </w:p>
        </w:tc>
        <w:tc>
          <w:tcPr>
            <w:tcW w:w="7242" w:type="dxa"/>
            <w:gridSpan w:val="10"/>
            <w:tcBorders>
              <w:top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hint="eastAsia" w:eastAsia="黑体"/>
                <w:kern w:val="0"/>
                <w:sz w:val="22"/>
              </w:rPr>
              <w:t>测试成绩对应分值、测试办法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3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</w:rPr>
            </w:pPr>
            <w:r>
              <w:rPr>
                <w:rFonts w:eastAsia="楷体_GB2312"/>
                <w:kern w:val="0"/>
                <w:sz w:val="22"/>
              </w:rPr>
              <w:t>1</w:t>
            </w:r>
            <w:r>
              <w:rPr>
                <w:rFonts w:hint="eastAsia" w:eastAsia="楷体_GB2312"/>
                <w:kern w:val="0"/>
                <w:sz w:val="22"/>
              </w:rPr>
              <w:t>分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</w:rPr>
            </w:pPr>
            <w:r>
              <w:rPr>
                <w:rFonts w:eastAsia="楷体_GB2312"/>
                <w:kern w:val="0"/>
                <w:sz w:val="22"/>
              </w:rPr>
              <w:t>2</w:t>
            </w:r>
            <w:r>
              <w:rPr>
                <w:rFonts w:hint="eastAsia" w:eastAsia="楷体_GB2312"/>
                <w:kern w:val="0"/>
                <w:sz w:val="22"/>
              </w:rPr>
              <w:t>分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</w:rPr>
            </w:pPr>
            <w:r>
              <w:rPr>
                <w:rFonts w:eastAsia="楷体_GB2312"/>
                <w:kern w:val="0"/>
                <w:sz w:val="22"/>
              </w:rPr>
              <w:t>3</w:t>
            </w:r>
            <w:r>
              <w:rPr>
                <w:rFonts w:hint="eastAsia" w:eastAsia="楷体_GB2312"/>
                <w:kern w:val="0"/>
                <w:sz w:val="22"/>
              </w:rPr>
              <w:t>分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</w:rPr>
            </w:pPr>
            <w:r>
              <w:rPr>
                <w:rFonts w:eastAsia="楷体_GB2312"/>
                <w:kern w:val="0"/>
                <w:sz w:val="22"/>
              </w:rPr>
              <w:t>4</w:t>
            </w:r>
            <w:r>
              <w:rPr>
                <w:rFonts w:hint="eastAsia" w:eastAsia="楷体_GB2312"/>
                <w:kern w:val="0"/>
                <w:sz w:val="22"/>
              </w:rPr>
              <w:t>分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</w:rPr>
            </w:pPr>
            <w:r>
              <w:rPr>
                <w:rFonts w:eastAsia="楷体_GB2312"/>
                <w:kern w:val="0"/>
                <w:sz w:val="22"/>
              </w:rPr>
              <w:t>5</w:t>
            </w:r>
            <w:r>
              <w:rPr>
                <w:rFonts w:hint="eastAsia" w:eastAsia="楷体_GB2312"/>
                <w:kern w:val="0"/>
                <w:sz w:val="22"/>
              </w:rPr>
              <w:t>分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</w:rPr>
            </w:pPr>
            <w:r>
              <w:rPr>
                <w:rFonts w:eastAsia="楷体_GB2312"/>
                <w:kern w:val="0"/>
                <w:sz w:val="22"/>
              </w:rPr>
              <w:t>6</w:t>
            </w:r>
            <w:r>
              <w:rPr>
                <w:rFonts w:hint="eastAsia" w:eastAsia="楷体_GB2312"/>
                <w:kern w:val="0"/>
                <w:sz w:val="22"/>
              </w:rPr>
              <w:t>分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</w:rPr>
            </w:pPr>
            <w:r>
              <w:rPr>
                <w:rFonts w:eastAsia="楷体_GB2312"/>
                <w:kern w:val="0"/>
                <w:sz w:val="22"/>
              </w:rPr>
              <w:t>7</w:t>
            </w:r>
            <w:r>
              <w:rPr>
                <w:rFonts w:hint="eastAsia" w:eastAsia="楷体_GB2312"/>
                <w:kern w:val="0"/>
                <w:sz w:val="22"/>
              </w:rPr>
              <w:t>分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</w:rPr>
            </w:pPr>
            <w:r>
              <w:rPr>
                <w:rFonts w:eastAsia="楷体_GB2312"/>
                <w:kern w:val="0"/>
                <w:sz w:val="22"/>
              </w:rPr>
              <w:t>8</w:t>
            </w:r>
            <w:r>
              <w:rPr>
                <w:rFonts w:hint="eastAsia" w:eastAsia="楷体_GB2312"/>
                <w:kern w:val="0"/>
                <w:sz w:val="22"/>
              </w:rPr>
              <w:t>分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</w:rPr>
            </w:pPr>
            <w:r>
              <w:rPr>
                <w:rFonts w:eastAsia="楷体_GB2312"/>
                <w:kern w:val="0"/>
                <w:sz w:val="22"/>
              </w:rPr>
              <w:t>9</w:t>
            </w:r>
            <w:r>
              <w:rPr>
                <w:rFonts w:hint="eastAsia" w:eastAsia="楷体_GB2312"/>
                <w:kern w:val="0"/>
                <w:sz w:val="22"/>
              </w:rPr>
              <w:t>分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2"/>
              </w:rPr>
            </w:pPr>
            <w:r>
              <w:rPr>
                <w:rFonts w:eastAsia="楷体_GB2312"/>
                <w:spacing w:val="-10"/>
                <w:kern w:val="0"/>
                <w:sz w:val="22"/>
              </w:rPr>
              <w:t>10</w:t>
            </w:r>
            <w:r>
              <w:rPr>
                <w:rFonts w:hint="eastAsia" w:eastAsia="楷体_GB2312"/>
                <w:spacing w:val="-10"/>
                <w:kern w:val="0"/>
                <w:sz w:val="22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73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 w:hAnsi="黑体" w:eastAsia="黑体"/>
                <w:szCs w:val="21"/>
              </w:rPr>
              <w:t>单杠引体向上（次</w:t>
            </w:r>
            <w:r>
              <w:rPr>
                <w:rFonts w:eastAsia="黑体"/>
                <w:szCs w:val="21"/>
              </w:rPr>
              <w:t>/3</w:t>
            </w:r>
            <w:r>
              <w:rPr>
                <w:rFonts w:hint="eastAsia" w:hAnsi="黑体" w:eastAsia="黑体"/>
                <w:szCs w:val="21"/>
              </w:rPr>
              <w:t>分钟）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2</w:t>
            </w:r>
            <w:r>
              <w:rPr>
                <w:rFonts w:hint="eastAsia"/>
                <w:b/>
                <w:kern w:val="0"/>
                <w:szCs w:val="21"/>
              </w:rPr>
              <w:t>个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个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个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个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  <w:r>
              <w:rPr>
                <w:rFonts w:hint="eastAsia"/>
                <w:kern w:val="0"/>
                <w:szCs w:val="21"/>
              </w:rPr>
              <w:t>个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  <w:r>
              <w:rPr>
                <w:rFonts w:hint="eastAsia"/>
                <w:kern w:val="0"/>
                <w:szCs w:val="21"/>
              </w:rPr>
              <w:t>个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  <w:r>
              <w:rPr>
                <w:rFonts w:hint="eastAsia"/>
                <w:kern w:val="0"/>
                <w:szCs w:val="21"/>
              </w:rPr>
              <w:t>个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  <w:r>
              <w:rPr>
                <w:rFonts w:hint="eastAsia"/>
                <w:kern w:val="0"/>
                <w:szCs w:val="21"/>
              </w:rPr>
              <w:t>个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  <w:r>
              <w:rPr>
                <w:rFonts w:hint="eastAsia"/>
                <w:kern w:val="0"/>
                <w:szCs w:val="21"/>
              </w:rPr>
              <w:t>个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  <w:r>
              <w:rPr>
                <w:rFonts w:hint="eastAsia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73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242" w:type="dxa"/>
            <w:gridSpan w:val="1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</w:t>
            </w:r>
            <w:r>
              <w:rPr>
                <w:rFonts w:hint="eastAsia" w:eastAsia="仿宋_GB2312"/>
                <w:szCs w:val="21"/>
              </w:rPr>
              <w:t>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</w:t>
            </w:r>
            <w:r>
              <w:rPr>
                <w:rFonts w:hint="eastAsia" w:eastAsia="仿宋_GB2312"/>
                <w:szCs w:val="21"/>
              </w:rPr>
              <w:t>按照规定动作要领完成动作。引体时下颌高于杠面、身体不得借助振浪或摆动、悬垂时双肘关节伸直；脚触及地面或立柱，结束考核。</w:t>
            </w:r>
            <w:r>
              <w:rPr>
                <w:rFonts w:eastAsia="仿宋_GB2312"/>
                <w:szCs w:val="21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</w:t>
            </w:r>
            <w:r>
              <w:rPr>
                <w:rFonts w:hint="eastAsia" w:eastAsia="仿宋_GB2312"/>
                <w:szCs w:val="21"/>
              </w:rPr>
              <w:t>考核以完成次数计算成绩。</w:t>
            </w:r>
          </w:p>
          <w:p>
            <w:pPr>
              <w:widowControl/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4.</w:t>
            </w:r>
            <w:r>
              <w:rPr>
                <w:rFonts w:hint="eastAsia" w:eastAsia="仿宋_GB2312"/>
                <w:szCs w:val="21"/>
              </w:rPr>
              <w:t>得分超出</w:t>
            </w:r>
            <w:r>
              <w:rPr>
                <w:rFonts w:eastAsia="仿宋_GB2312"/>
                <w:szCs w:val="21"/>
              </w:rPr>
              <w:t>10</w:t>
            </w:r>
            <w:r>
              <w:rPr>
                <w:rFonts w:hint="eastAsia" w:eastAsia="仿宋_GB2312"/>
                <w:szCs w:val="21"/>
              </w:rPr>
              <w:t>分的，每递增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hint="eastAsia" w:eastAsia="仿宋_GB2312"/>
                <w:szCs w:val="21"/>
              </w:rPr>
              <w:t>次增加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hint="eastAsia" w:eastAsia="仿宋_GB2312"/>
                <w:szCs w:val="21"/>
              </w:rPr>
              <w:t>分。</w:t>
            </w:r>
          </w:p>
          <w:p>
            <w:pPr>
              <w:widowControl/>
              <w:adjustRightInd w:val="0"/>
              <w:snapToGrid w:val="0"/>
              <w:spacing w:line="240" w:lineRule="exact"/>
              <w:ind w:firstLine="422" w:firstLineChars="200"/>
              <w:jc w:val="left"/>
              <w:rPr>
                <w:b/>
                <w:kern w:val="0"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5.</w:t>
            </w:r>
            <w:r>
              <w:rPr>
                <w:rFonts w:hint="eastAsia" w:eastAsia="仿宋_GB2312"/>
                <w:b/>
                <w:szCs w:val="21"/>
              </w:rPr>
              <w:t>达不到“</w:t>
            </w:r>
            <w:r>
              <w:rPr>
                <w:rFonts w:eastAsia="仿宋_GB2312"/>
                <w:b/>
                <w:szCs w:val="21"/>
              </w:rPr>
              <w:t>2</w:t>
            </w:r>
            <w:r>
              <w:rPr>
                <w:rFonts w:hint="eastAsia" w:eastAsia="仿宋_GB2312"/>
                <w:b/>
                <w:szCs w:val="21"/>
              </w:rPr>
              <w:t>个”的直接判定为</w:t>
            </w:r>
            <w:r>
              <w:rPr>
                <w:rFonts w:eastAsia="仿宋_GB2312"/>
                <w:b/>
                <w:szCs w:val="21"/>
              </w:rPr>
              <w:t>“</w:t>
            </w:r>
            <w:r>
              <w:rPr>
                <w:rFonts w:hint="eastAsia" w:eastAsia="仿宋_GB2312"/>
                <w:b/>
                <w:szCs w:val="21"/>
              </w:rPr>
              <w:t>不合格</w:t>
            </w:r>
            <w:r>
              <w:rPr>
                <w:rFonts w:eastAsia="仿宋_GB2312"/>
                <w:b/>
                <w:szCs w:val="21"/>
              </w:rPr>
              <w:t>”</w:t>
            </w:r>
            <w:r>
              <w:rPr>
                <w:rFonts w:hint="eastAsia" w:eastAsia="仿宋_GB2312"/>
                <w:b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73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黑体" w:eastAsia="黑体"/>
                <w:szCs w:val="21"/>
              </w:rPr>
            </w:pPr>
            <w:r>
              <w:rPr>
                <w:rFonts w:eastAsia="黑体"/>
                <w:szCs w:val="21"/>
              </w:rPr>
              <w:t>1000</w:t>
            </w:r>
            <w:r>
              <w:rPr>
                <w:rFonts w:hint="eastAsia" w:hAnsi="黑体" w:eastAsia="黑体"/>
                <w:szCs w:val="21"/>
              </w:rPr>
              <w:t>米跑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 w:hAnsi="黑体" w:eastAsia="黑体"/>
                <w:szCs w:val="21"/>
              </w:rPr>
              <w:t>（分、秒）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szCs w:val="21"/>
              </w:rPr>
              <w:t>4</w:t>
            </w:r>
            <w:r>
              <w:rPr>
                <w:rFonts w:hint="eastAsia" w:ascii="宋体" w:hAnsi="宋体" w:cs="宋体"/>
                <w:b/>
                <w:szCs w:val="21"/>
              </w:rPr>
              <w:t>′</w:t>
            </w:r>
            <w:r>
              <w:rPr>
                <w:b/>
                <w:szCs w:val="21"/>
              </w:rPr>
              <w:t>25</w:t>
            </w:r>
            <w:r>
              <w:rPr>
                <w:rFonts w:hint="eastAsia" w:ascii="宋体" w:hAnsi="宋体" w:cs="宋体"/>
                <w:b/>
                <w:szCs w:val="21"/>
              </w:rPr>
              <w:t>″</w:t>
            </w:r>
          </w:p>
        </w:tc>
        <w:tc>
          <w:tcPr>
            <w:tcW w:w="72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′</w:t>
            </w:r>
            <w:r>
              <w:rPr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″</w:t>
            </w:r>
          </w:p>
        </w:tc>
        <w:tc>
          <w:tcPr>
            <w:tcW w:w="7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′</w:t>
            </w:r>
            <w:r>
              <w:rPr>
                <w:szCs w:val="21"/>
              </w:rPr>
              <w:t>15</w:t>
            </w:r>
            <w:r>
              <w:rPr>
                <w:rFonts w:hint="eastAsia" w:ascii="宋体" w:hAnsi="宋体" w:cs="宋体"/>
                <w:szCs w:val="21"/>
              </w:rPr>
              <w:t>″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′</w:t>
            </w:r>
            <w:r>
              <w:rPr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″</w:t>
            </w:r>
          </w:p>
        </w:tc>
        <w:tc>
          <w:tcPr>
            <w:tcW w:w="72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′</w:t>
            </w:r>
            <w:r>
              <w:rPr>
                <w:szCs w:val="21"/>
              </w:rPr>
              <w:t>05</w:t>
            </w:r>
            <w:r>
              <w:rPr>
                <w:rFonts w:hint="eastAsia" w:ascii="宋体" w:hAnsi="宋体" w:cs="宋体"/>
                <w:szCs w:val="21"/>
              </w:rPr>
              <w:t>″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′</w:t>
            </w:r>
            <w:r>
              <w:rPr>
                <w:szCs w:val="21"/>
              </w:rPr>
              <w:t>00</w:t>
            </w:r>
            <w:r>
              <w:rPr>
                <w:rFonts w:hint="eastAsia" w:ascii="宋体" w:hAnsi="宋体" w:cs="宋体"/>
                <w:szCs w:val="21"/>
              </w:rPr>
              <w:t>″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′</w:t>
            </w:r>
            <w:r>
              <w:rPr>
                <w:szCs w:val="21"/>
              </w:rPr>
              <w:t>55</w:t>
            </w:r>
            <w:r>
              <w:rPr>
                <w:rFonts w:hint="eastAsia" w:ascii="宋体" w:hAnsi="宋体" w:cs="宋体"/>
                <w:szCs w:val="21"/>
              </w:rPr>
              <w:t>″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′</w:t>
            </w:r>
            <w:r>
              <w:rPr>
                <w:szCs w:val="21"/>
              </w:rPr>
              <w:t>50</w:t>
            </w:r>
            <w:r>
              <w:rPr>
                <w:rFonts w:hint="eastAsia" w:ascii="宋体" w:hAnsi="宋体" w:cs="宋体"/>
                <w:szCs w:val="21"/>
              </w:rPr>
              <w:t>″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′</w:t>
            </w:r>
            <w:r>
              <w:rPr>
                <w:szCs w:val="21"/>
              </w:rPr>
              <w:t>45</w:t>
            </w:r>
            <w:r>
              <w:rPr>
                <w:rFonts w:hint="eastAsia" w:ascii="宋体" w:hAnsi="宋体" w:cs="宋体"/>
                <w:szCs w:val="21"/>
              </w:rPr>
              <w:t>″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′</w:t>
            </w:r>
            <w:r>
              <w:rPr>
                <w:szCs w:val="21"/>
              </w:rPr>
              <w:t>40</w:t>
            </w:r>
            <w:r>
              <w:rPr>
                <w:rFonts w:hint="eastAsia" w:ascii="宋体" w:hAnsi="宋体" w:cs="宋体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734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242" w:type="dxa"/>
            <w:gridSpan w:val="10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</w:t>
            </w:r>
            <w:r>
              <w:rPr>
                <w:rFonts w:hint="eastAsia" w:eastAsia="仿宋_GB2312"/>
                <w:szCs w:val="21"/>
              </w:rPr>
              <w:t>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</w:t>
            </w:r>
            <w:r>
              <w:rPr>
                <w:rFonts w:hint="eastAsia" w:eastAsia="仿宋_GB2312"/>
                <w:szCs w:val="21"/>
              </w:rPr>
              <w:t>在跑道或平地上标出起点线，考生从起点线处听到起跑口令后起跑，完成</w:t>
            </w:r>
            <w:r>
              <w:rPr>
                <w:rFonts w:eastAsia="仿宋_GB2312"/>
                <w:szCs w:val="21"/>
              </w:rPr>
              <w:t>1000</w:t>
            </w:r>
            <w:r>
              <w:rPr>
                <w:rFonts w:hint="eastAsia" w:eastAsia="仿宋_GB2312"/>
                <w:szCs w:val="21"/>
              </w:rPr>
              <w:t>米距离到达终点线，记录时间。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</w:t>
            </w:r>
            <w:r>
              <w:rPr>
                <w:rFonts w:hint="eastAsia" w:eastAsia="仿宋_GB2312"/>
                <w:szCs w:val="21"/>
              </w:rPr>
              <w:t>考核以完成时间计算成绩。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4.</w:t>
            </w:r>
            <w:r>
              <w:rPr>
                <w:rFonts w:hint="eastAsia" w:eastAsia="仿宋_GB2312"/>
                <w:szCs w:val="21"/>
              </w:rPr>
              <w:t>得分超出</w:t>
            </w:r>
            <w:r>
              <w:rPr>
                <w:rFonts w:eastAsia="仿宋_GB2312"/>
                <w:szCs w:val="21"/>
              </w:rPr>
              <w:t>10</w:t>
            </w:r>
            <w:r>
              <w:rPr>
                <w:rFonts w:hint="eastAsia" w:eastAsia="仿宋_GB2312"/>
                <w:szCs w:val="21"/>
              </w:rPr>
              <w:t>分的，每递减</w:t>
            </w:r>
            <w:r>
              <w:rPr>
                <w:rFonts w:eastAsia="仿宋_GB2312"/>
                <w:szCs w:val="21"/>
              </w:rPr>
              <w:t>5</w:t>
            </w:r>
            <w:r>
              <w:rPr>
                <w:rFonts w:hint="eastAsia" w:eastAsia="仿宋_GB2312"/>
                <w:szCs w:val="21"/>
              </w:rPr>
              <w:t>秒增加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hint="eastAsia" w:eastAsia="仿宋_GB2312"/>
                <w:szCs w:val="21"/>
              </w:rPr>
              <w:t>分。</w:t>
            </w:r>
          </w:p>
          <w:p>
            <w:pPr>
              <w:adjustRightInd w:val="0"/>
              <w:snapToGrid w:val="0"/>
              <w:spacing w:line="240" w:lineRule="exact"/>
              <w:ind w:firstLine="422" w:firstLineChars="200"/>
              <w:textAlignment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5.</w:t>
            </w:r>
            <w:r>
              <w:rPr>
                <w:rFonts w:hint="eastAsia" w:eastAsia="仿宋_GB2312"/>
                <w:b/>
                <w:szCs w:val="21"/>
              </w:rPr>
              <w:t>达不到</w:t>
            </w:r>
            <w:r>
              <w:rPr>
                <w:b/>
                <w:szCs w:val="21"/>
              </w:rPr>
              <w:t>4</w:t>
            </w:r>
            <w:r>
              <w:rPr>
                <w:rFonts w:hint="eastAsia" w:ascii="宋体" w:hAnsi="宋体" w:cs="宋体"/>
                <w:b/>
                <w:szCs w:val="21"/>
              </w:rPr>
              <w:t>′</w:t>
            </w:r>
            <w:r>
              <w:rPr>
                <w:b/>
                <w:szCs w:val="21"/>
              </w:rPr>
              <w:t>25</w:t>
            </w:r>
            <w:r>
              <w:rPr>
                <w:rFonts w:hint="eastAsia" w:ascii="宋体" w:hAnsi="宋体" w:cs="宋体"/>
                <w:b/>
                <w:szCs w:val="21"/>
              </w:rPr>
              <w:t>″</w:t>
            </w:r>
            <w:r>
              <w:rPr>
                <w:rFonts w:hint="eastAsia" w:eastAsia="仿宋_GB2312"/>
                <w:b/>
                <w:szCs w:val="21"/>
              </w:rPr>
              <w:t>标准的直接判定为</w:t>
            </w:r>
            <w:r>
              <w:rPr>
                <w:rFonts w:eastAsia="仿宋_GB2312"/>
                <w:b/>
                <w:szCs w:val="21"/>
              </w:rPr>
              <w:t>“</w:t>
            </w:r>
            <w:r>
              <w:rPr>
                <w:rFonts w:hint="eastAsia" w:eastAsia="仿宋_GB2312"/>
                <w:b/>
                <w:szCs w:val="21"/>
              </w:rPr>
              <w:t>不合格</w:t>
            </w:r>
            <w:r>
              <w:rPr>
                <w:rFonts w:eastAsia="仿宋_GB2312"/>
                <w:b/>
                <w:szCs w:val="21"/>
              </w:rPr>
              <w:t>”</w:t>
            </w:r>
            <w:r>
              <w:rPr>
                <w:rFonts w:hint="eastAsia" w:eastAsia="仿宋_GB2312"/>
                <w:b/>
                <w:szCs w:val="21"/>
              </w:rPr>
              <w:t>。</w:t>
            </w:r>
          </w:p>
        </w:tc>
      </w:tr>
    </w:tbl>
    <w:p>
      <w:pPr>
        <w:widowControl/>
        <w:jc w:val="left"/>
        <w:rPr>
          <w:rFonts w:ascii="黑体" w:eastAsia="黑体"/>
          <w:sz w:val="32"/>
          <w:szCs w:val="32"/>
        </w:rPr>
      </w:pPr>
    </w:p>
    <w:tbl>
      <w:tblPr>
        <w:tblStyle w:val="3"/>
        <w:tblW w:w="897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4508"/>
        <w:gridCol w:w="679"/>
        <w:gridCol w:w="679"/>
        <w:gridCol w:w="679"/>
        <w:gridCol w:w="6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750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项</w:t>
            </w:r>
            <w:r>
              <w:rPr>
                <w:rFonts w:eastAsia="黑体"/>
                <w:szCs w:val="21"/>
              </w:rPr>
              <w:t xml:space="preserve">  </w:t>
            </w:r>
            <w:r>
              <w:rPr>
                <w:rFonts w:hint="eastAsia" w:eastAsia="黑体"/>
                <w:szCs w:val="21"/>
              </w:rPr>
              <w:t>目</w:t>
            </w:r>
          </w:p>
        </w:tc>
        <w:tc>
          <w:tcPr>
            <w:tcW w:w="4508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测试办法</w:t>
            </w:r>
          </w:p>
        </w:tc>
        <w:tc>
          <w:tcPr>
            <w:tcW w:w="679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优秀</w:t>
            </w:r>
          </w:p>
        </w:tc>
        <w:tc>
          <w:tcPr>
            <w:tcW w:w="679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良好</w:t>
            </w:r>
          </w:p>
        </w:tc>
        <w:tc>
          <w:tcPr>
            <w:tcW w:w="679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中等</w:t>
            </w:r>
          </w:p>
        </w:tc>
        <w:tc>
          <w:tcPr>
            <w:tcW w:w="681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一般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hAnsi="黑体" w:eastAsia="黑体"/>
                <w:szCs w:val="21"/>
              </w:rPr>
              <w:t>负重登六楼</w:t>
            </w:r>
          </w:p>
        </w:tc>
        <w:tc>
          <w:tcPr>
            <w:tcW w:w="450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hint="eastAsia" w:eastAsia="仿宋_GB2312"/>
                <w:szCs w:val="21"/>
              </w:rPr>
              <w:t>考生佩戴消防头盔及消防安全腰带，手提两盘</w:t>
            </w:r>
            <w:r>
              <w:rPr>
                <w:rFonts w:eastAsia="仿宋_GB2312"/>
                <w:szCs w:val="21"/>
              </w:rPr>
              <w:t>65</w:t>
            </w:r>
            <w:r>
              <w:rPr>
                <w:rFonts w:hint="eastAsia" w:eastAsia="仿宋_GB2312"/>
                <w:szCs w:val="21"/>
              </w:rPr>
              <w:t>毫米口径水带，从一楼楼梯口登至六楼楼梯口。记录时间。</w:t>
            </w:r>
          </w:p>
        </w:tc>
        <w:tc>
          <w:tcPr>
            <w:tcW w:w="6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′</w:t>
            </w:r>
            <w:r>
              <w:rPr>
                <w:rFonts w:eastAsia="仿宋_GB2312"/>
                <w:szCs w:val="21"/>
              </w:rPr>
              <w:t>15</w:t>
            </w:r>
            <w:r>
              <w:rPr>
                <w:rFonts w:hint="eastAsia" w:ascii="宋体" w:hAnsi="宋体" w:cs="宋体"/>
                <w:szCs w:val="21"/>
              </w:rPr>
              <w:t>″</w:t>
            </w:r>
          </w:p>
        </w:tc>
        <w:tc>
          <w:tcPr>
            <w:tcW w:w="6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′</w:t>
            </w:r>
            <w:r>
              <w:rPr>
                <w:rFonts w:eastAsia="仿宋_GB2312"/>
                <w:szCs w:val="21"/>
              </w:rPr>
              <w:t>30</w:t>
            </w:r>
            <w:r>
              <w:rPr>
                <w:rFonts w:hint="eastAsia" w:ascii="宋体" w:hAnsi="宋体" w:cs="宋体"/>
                <w:szCs w:val="21"/>
              </w:rPr>
              <w:t>″</w:t>
            </w:r>
          </w:p>
        </w:tc>
        <w:tc>
          <w:tcPr>
            <w:tcW w:w="6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′</w:t>
            </w:r>
            <w:r>
              <w:rPr>
                <w:rFonts w:eastAsia="仿宋_GB2312"/>
                <w:szCs w:val="21"/>
              </w:rPr>
              <w:t>40</w:t>
            </w:r>
            <w:r>
              <w:rPr>
                <w:rFonts w:hint="eastAsia" w:ascii="宋体" w:hAnsi="宋体" w:cs="宋体"/>
                <w:szCs w:val="21"/>
              </w:rPr>
              <w:t>″</w:t>
            </w:r>
          </w:p>
        </w:tc>
        <w:tc>
          <w:tcPr>
            <w:tcW w:w="6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szCs w:val="21"/>
              </w:rPr>
              <w:t>′</w:t>
            </w:r>
            <w:r>
              <w:rPr>
                <w:rFonts w:eastAsia="仿宋_GB2312"/>
                <w:b/>
                <w:szCs w:val="21"/>
              </w:rPr>
              <w:t>50</w:t>
            </w:r>
            <w:r>
              <w:rPr>
                <w:rFonts w:hint="eastAsia" w:ascii="宋体" w:hAnsi="宋体" w:cs="宋体"/>
                <w:b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 w:eastAsia="黑体"/>
                <w:szCs w:val="21"/>
              </w:rPr>
            </w:pPr>
            <w:r>
              <w:rPr>
                <w:rFonts w:hint="eastAsia" w:hAnsi="黑体" w:eastAsia="黑体"/>
                <w:szCs w:val="21"/>
              </w:rPr>
              <w:t>拖拽</w:t>
            </w:r>
          </w:p>
        </w:tc>
        <w:tc>
          <w:tcPr>
            <w:tcW w:w="4508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hint="eastAsia" w:eastAsia="仿宋_GB2312"/>
                <w:szCs w:val="21"/>
              </w:rPr>
              <w:t>考生佩戴消防头盔及消防安全腰带，将</w:t>
            </w:r>
            <w:r>
              <w:rPr>
                <w:rFonts w:eastAsia="仿宋_GB2312"/>
                <w:szCs w:val="21"/>
              </w:rPr>
              <w:t>60</w:t>
            </w:r>
            <w:r>
              <w:rPr>
                <w:rFonts w:hint="eastAsia" w:eastAsia="仿宋_GB2312"/>
                <w:szCs w:val="21"/>
              </w:rPr>
              <w:t>公斤重的假人从起点线拖拽至距离起点线</w:t>
            </w:r>
            <w:r>
              <w:rPr>
                <w:rFonts w:eastAsia="仿宋_GB2312"/>
                <w:szCs w:val="21"/>
              </w:rPr>
              <w:t>10</w:t>
            </w:r>
            <w:r>
              <w:rPr>
                <w:rFonts w:hint="eastAsia" w:eastAsia="仿宋_GB2312"/>
                <w:szCs w:val="21"/>
              </w:rPr>
              <w:t>米处的终点线（假人整体越过终点线）。记录时间。</w:t>
            </w:r>
          </w:p>
        </w:tc>
        <w:tc>
          <w:tcPr>
            <w:tcW w:w="6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12</w:t>
            </w:r>
            <w:r>
              <w:rPr>
                <w:rFonts w:hint="eastAsia" w:ascii="宋体" w:hAnsi="宋体" w:cs="宋体"/>
                <w:szCs w:val="21"/>
              </w:rPr>
              <w:t>″</w:t>
            </w:r>
          </w:p>
        </w:tc>
        <w:tc>
          <w:tcPr>
            <w:tcW w:w="6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13</w:t>
            </w:r>
            <w:r>
              <w:rPr>
                <w:rFonts w:hint="eastAsia" w:ascii="宋体" w:hAnsi="宋体" w:cs="宋体"/>
                <w:szCs w:val="21"/>
              </w:rPr>
              <w:t>″</w:t>
            </w:r>
          </w:p>
        </w:tc>
        <w:tc>
          <w:tcPr>
            <w:tcW w:w="6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</w:t>
            </w:r>
            <w:r>
              <w:rPr>
                <w:rFonts w:hint="eastAsia" w:ascii="宋体" w:hAnsi="宋体" w:cs="宋体"/>
                <w:szCs w:val="21"/>
              </w:rPr>
              <w:t>″</w:t>
            </w:r>
          </w:p>
        </w:tc>
        <w:tc>
          <w:tcPr>
            <w:tcW w:w="6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15</w:t>
            </w:r>
            <w:r>
              <w:rPr>
                <w:rFonts w:hint="eastAsia" w:ascii="宋体" w:hAnsi="宋体" w:cs="宋体"/>
                <w:b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75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hAnsi="黑体" w:eastAsia="黑体"/>
                <w:szCs w:val="21"/>
              </w:rPr>
              <w:t>备注</w:t>
            </w:r>
          </w:p>
        </w:tc>
        <w:tc>
          <w:tcPr>
            <w:tcW w:w="722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2" w:firstLineChars="200"/>
              <w:jc w:val="left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任一项达不到“一般”标准的直接判定为</w:t>
            </w:r>
            <w:r>
              <w:rPr>
                <w:rFonts w:eastAsia="仿宋_GB2312"/>
                <w:b/>
                <w:szCs w:val="21"/>
              </w:rPr>
              <w:t>“</w:t>
            </w:r>
            <w:r>
              <w:rPr>
                <w:rFonts w:hint="eastAsia" w:eastAsia="仿宋_GB2312"/>
                <w:b/>
                <w:szCs w:val="21"/>
              </w:rPr>
              <w:t>不合格</w:t>
            </w:r>
            <w:r>
              <w:rPr>
                <w:rFonts w:eastAsia="仿宋_GB2312"/>
                <w:b/>
                <w:szCs w:val="21"/>
              </w:rPr>
              <w:t>”</w:t>
            </w:r>
            <w:r>
              <w:rPr>
                <w:rFonts w:hint="eastAsia" w:eastAsia="仿宋_GB2312"/>
                <w:b/>
                <w:szCs w:val="21"/>
              </w:rPr>
              <w:t>。</w:t>
            </w:r>
          </w:p>
        </w:tc>
      </w:tr>
    </w:tbl>
    <w:p>
      <w:pPr>
        <w:widowControl/>
        <w:jc w:val="left"/>
        <w:rPr>
          <w:rFonts w:ascii="黑体" w:eastAsia="黑体"/>
          <w:sz w:val="32"/>
          <w:szCs w:val="32"/>
        </w:rPr>
        <w:sectPr>
          <w:footerReference r:id="rId3" w:type="default"/>
          <w:pgSz w:w="11906" w:h="16838"/>
          <w:pgMar w:top="1440" w:right="1418" w:bottom="1440" w:left="1418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17AED"/>
    <w:rsid w:val="4801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2019-06-20T07:06:00Z</dcterms:created>
  <dc:creator>qzuser</dc:creator>
  <cp:lastModifiedBy>qzuser</cp:lastModifiedBy>
  <dcterms:modified xsi:type="dcterms:W3CDTF">2019-06-20T07:07:57Z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