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04" w:tblpY="2013"/>
        <w:tblOverlap w:val="never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8"/>
        <w:gridCol w:w="1069"/>
        <w:gridCol w:w="12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520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附件1                        </w:t>
            </w:r>
            <w:r>
              <w:rPr>
                <w:rStyle w:val="5"/>
                <w:lang w:val="en-US" w:eastAsia="zh-CN" w:bidi="ar"/>
              </w:rPr>
              <w:t>湖州湖皖高速公路有限公司招聘计划表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5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湖州籍收费员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年龄在35周岁及以下(1983年12月12日及以后出生人员），男女不限，男不低于170cm，女不低于160cm，身体健康；五官端正、嗓音清畅，表述清晰，普通话流利；具有湖州户籍；有良好的团队意识和组织纪律性；愿意接受“四班二运转”劳动工作时间（需上夜班）；符合上述条件的，并有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安吉籍收费员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高中及以上学历，年龄在35周岁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(1983年12月12日及以后出生人员），男女不限，男不低于170cm，女不低于160cm，身体健康；五官端正、嗓音清畅，表述清晰，普通话流利；具有安吉户籍；有良好的团队意识和组织纪律性；愿意接受“四班二运转”劳动工作时间（需上夜班）；符合上述条件的，并有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，高中及以上学历，年龄在40周岁及以下(1978年12月12日及以后出生人员），身体健康；具有C1驾照、特种作业操作证（高压进网许可证），有B1驾照优先；五官端正、嗓音清畅，表述清晰，普通话流利；有良好的团队意识和组织纪律性；愿意接受公司安排的劳动工作时间；符合上述条件的，并有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巡查施救员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男性，身高不低于170cm，年龄在40周岁及以下(1978年12月12日及以后出生人员），身体健康；具有A2驾照；五官端正、嗓音清畅，表述清晰，普通话流利；有良好的团队意识和组织纪律性；愿意接受“四班二运转”劳动工作时间（需上夜班）；符合上述条件的，并有相关工作经验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2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2018-12-12T07:34:21Z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